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CDFD5">
      <w:pPr>
        <w:widowControl/>
        <w:spacing w:line="360" w:lineRule="atLeast"/>
        <w:jc w:val="center"/>
        <w:rPr>
          <w:rFonts w:hint="eastAsia" w:ascii="方正小标宋简体" w:hAnsi="Times New Roman" w:eastAsia="方正小标宋简体"/>
          <w:sz w:val="32"/>
          <w:szCs w:val="32"/>
        </w:rPr>
      </w:pPr>
    </w:p>
    <w:p w14:paraId="554A13A7">
      <w:pPr>
        <w:widowControl/>
        <w:spacing w:line="360" w:lineRule="atLeast"/>
        <w:jc w:val="center"/>
        <w:rPr>
          <w:rFonts w:hint="eastAsia" w:ascii="方正小标宋简体" w:hAnsi="Times New Roman" w:eastAsia="方正小标宋简体"/>
          <w:sz w:val="44"/>
          <w:szCs w:val="44"/>
        </w:rPr>
      </w:pPr>
    </w:p>
    <w:p w14:paraId="0278434B">
      <w:pPr>
        <w:widowControl/>
        <w:spacing w:line="360" w:lineRule="atLeast"/>
        <w:jc w:val="center"/>
        <w:rPr>
          <w:rFonts w:hint="eastAsia" w:ascii="方正小标宋简体" w:hAnsi="Times New Roman" w:eastAsia="方正小标宋简体"/>
          <w:sz w:val="44"/>
          <w:szCs w:val="44"/>
          <w:lang w:eastAsia="zh-CN"/>
        </w:rPr>
      </w:pPr>
      <w:r>
        <w:rPr>
          <w:rFonts w:hint="eastAsia" w:ascii="方正小标宋简体" w:hAnsi="Times New Roman" w:eastAsia="方正小标宋简体"/>
          <w:sz w:val="44"/>
          <w:szCs w:val="44"/>
          <w:lang w:eastAsia="zh-CN"/>
        </w:rPr>
        <w:t>江西省地方标准</w:t>
      </w:r>
    </w:p>
    <w:p w14:paraId="3371AD4F">
      <w:pPr>
        <w:widowControl/>
        <w:spacing w:line="360" w:lineRule="atLeast"/>
        <w:jc w:val="center"/>
        <w:rPr>
          <w:rFonts w:hint="eastAsia" w:ascii="方正小标宋简体" w:hAnsi="Times New Roman" w:eastAsia="方正小标宋简体"/>
          <w:w w:val="90"/>
          <w:sz w:val="44"/>
          <w:szCs w:val="44"/>
        </w:rPr>
      </w:pPr>
      <w:r>
        <w:rPr>
          <w:rFonts w:hint="eastAsia" w:ascii="方正小标宋简体" w:hAnsi="Times New Roman" w:eastAsia="方正小标宋简体"/>
          <w:w w:val="90"/>
          <w:sz w:val="44"/>
          <w:szCs w:val="44"/>
        </w:rPr>
        <w:t>《行政执法案卷评查规范》</w:t>
      </w:r>
    </w:p>
    <w:p w14:paraId="29F5889C">
      <w:pPr>
        <w:widowControl/>
        <w:spacing w:line="360" w:lineRule="atLeast"/>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编制说明</w:t>
      </w:r>
    </w:p>
    <w:p w14:paraId="370C0654">
      <w:pPr>
        <w:widowControl/>
        <w:spacing w:line="360" w:lineRule="atLeast"/>
        <w:jc w:val="center"/>
        <w:rPr>
          <w:rFonts w:hint="eastAsia" w:ascii="方正小标宋简体" w:hAnsi="黑体" w:eastAsia="方正小标宋简体"/>
          <w:b w:val="0"/>
          <w:bCs w:val="0"/>
          <w:sz w:val="32"/>
          <w:szCs w:val="32"/>
          <w:lang w:eastAsia="zh-CN"/>
        </w:rPr>
      </w:pPr>
      <w:r>
        <w:rPr>
          <w:rFonts w:hint="eastAsia" w:ascii="仿宋_GB2312" w:hAnsi="仿宋_GB2312" w:eastAsia="仿宋_GB2312" w:cs="仿宋_GB2312"/>
          <w:b w:val="0"/>
          <w:bCs w:val="0"/>
          <w:sz w:val="32"/>
          <w:szCs w:val="32"/>
          <w:lang w:eastAsia="zh-CN"/>
        </w:rPr>
        <w:t>（公示阶段）</w:t>
      </w:r>
    </w:p>
    <w:p w14:paraId="127446B4">
      <w:pPr>
        <w:widowControl/>
        <w:spacing w:line="360" w:lineRule="atLeast"/>
        <w:jc w:val="center"/>
        <w:rPr>
          <w:rFonts w:hint="eastAsia" w:ascii="方正小标宋简体" w:hAnsi="黑体" w:eastAsia="方正小标宋简体"/>
          <w:sz w:val="32"/>
          <w:szCs w:val="32"/>
        </w:rPr>
      </w:pPr>
    </w:p>
    <w:p w14:paraId="2B81A1C6">
      <w:pPr>
        <w:widowControl/>
        <w:spacing w:line="360" w:lineRule="atLeast"/>
        <w:jc w:val="center"/>
        <w:rPr>
          <w:rFonts w:hint="eastAsia" w:ascii="方正小标宋简体" w:hAnsi="黑体" w:eastAsia="方正小标宋简体"/>
          <w:sz w:val="32"/>
          <w:szCs w:val="32"/>
        </w:rPr>
      </w:pPr>
    </w:p>
    <w:p w14:paraId="23DA15F5">
      <w:pPr>
        <w:widowControl/>
        <w:spacing w:line="360" w:lineRule="atLeast"/>
        <w:jc w:val="center"/>
        <w:rPr>
          <w:rFonts w:hint="eastAsia" w:ascii="方正小标宋简体" w:hAnsi="黑体" w:eastAsia="方正小标宋简体"/>
          <w:sz w:val="32"/>
          <w:szCs w:val="32"/>
        </w:rPr>
      </w:pPr>
    </w:p>
    <w:p w14:paraId="48E6350A">
      <w:pPr>
        <w:widowControl/>
        <w:spacing w:line="360" w:lineRule="atLeast"/>
        <w:jc w:val="center"/>
        <w:rPr>
          <w:rFonts w:hint="eastAsia" w:ascii="方正小标宋简体" w:hAnsi="黑体" w:eastAsia="方正小标宋简体"/>
          <w:sz w:val="32"/>
          <w:szCs w:val="32"/>
        </w:rPr>
      </w:pPr>
    </w:p>
    <w:p w14:paraId="583E6B06">
      <w:pPr>
        <w:widowControl/>
        <w:spacing w:line="360" w:lineRule="atLeast"/>
        <w:jc w:val="center"/>
        <w:rPr>
          <w:rFonts w:hint="eastAsia" w:ascii="方正小标宋简体" w:hAnsi="黑体" w:eastAsia="方正小标宋简体"/>
          <w:sz w:val="32"/>
          <w:szCs w:val="32"/>
        </w:rPr>
      </w:pPr>
    </w:p>
    <w:p w14:paraId="627B7318">
      <w:pPr>
        <w:widowControl/>
        <w:spacing w:line="360" w:lineRule="atLeast"/>
        <w:jc w:val="center"/>
        <w:rPr>
          <w:rFonts w:hint="default" w:ascii="方正小标宋简体" w:hAnsi="黑体" w:eastAsia="方正小标宋简体"/>
          <w:sz w:val="32"/>
          <w:szCs w:val="32"/>
          <w:lang w:val="en-US" w:eastAsia="zh-CN"/>
        </w:rPr>
      </w:pPr>
      <w:r>
        <w:rPr>
          <w:rFonts w:hint="eastAsia" w:ascii="方正小标宋简体" w:hAnsi="黑体" w:eastAsia="方正小标宋简体"/>
          <w:sz w:val="32"/>
          <w:szCs w:val="32"/>
          <w:lang w:eastAsia="zh-CN"/>
        </w:rPr>
        <w:t>编制单位：江西省</w:t>
      </w:r>
      <w:r>
        <w:rPr>
          <w:rFonts w:hint="eastAsia" w:ascii="方正小标宋简体" w:hAnsi="黑体" w:eastAsia="方正小标宋简体"/>
          <w:sz w:val="32"/>
          <w:szCs w:val="32"/>
          <w:lang w:val="en-US" w:eastAsia="zh-CN"/>
        </w:rPr>
        <w:t>司法厅</w:t>
      </w:r>
    </w:p>
    <w:p w14:paraId="36760C99">
      <w:pPr>
        <w:widowControl/>
        <w:spacing w:line="360" w:lineRule="atLeast"/>
        <w:jc w:val="center"/>
        <w:rPr>
          <w:rFonts w:hint="eastAsia" w:ascii="方正小标宋简体" w:hAnsi="黑体" w:eastAsia="方正小标宋简体"/>
          <w:sz w:val="32"/>
          <w:szCs w:val="32"/>
        </w:rPr>
      </w:pPr>
      <w:r>
        <w:rPr>
          <w:rFonts w:hint="eastAsia" w:ascii="方正小标宋简体" w:hAnsi="黑体" w:eastAsia="方正小标宋简体"/>
          <w:sz w:val="32"/>
          <w:szCs w:val="32"/>
          <w:lang w:val="en-US" w:eastAsia="zh-CN"/>
        </w:rPr>
        <w:t>2024年8月</w:t>
      </w:r>
    </w:p>
    <w:p w14:paraId="7A1EFACD">
      <w:pPr>
        <w:widowControl/>
        <w:spacing w:line="360" w:lineRule="atLeast"/>
        <w:jc w:val="both"/>
        <w:rPr>
          <w:rFonts w:hint="eastAsia" w:ascii="方正小标宋简体" w:hAnsi="黑体" w:eastAsia="方正小标宋简体"/>
          <w:sz w:val="32"/>
          <w:szCs w:val="32"/>
          <w:lang w:eastAsia="zh-CN"/>
        </w:rPr>
      </w:pPr>
    </w:p>
    <w:p w14:paraId="06EA79CC">
      <w:pPr>
        <w:widowControl/>
        <w:spacing w:line="360" w:lineRule="atLeast"/>
        <w:jc w:val="center"/>
        <w:rPr>
          <w:rFonts w:hint="eastAsia" w:ascii="方正小标宋简体" w:hAnsi="黑体" w:eastAsia="方正小标宋简体"/>
          <w:sz w:val="32"/>
          <w:szCs w:val="32"/>
        </w:rPr>
      </w:pPr>
    </w:p>
    <w:p w14:paraId="20C54A3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一、工作简况</w:t>
      </w:r>
    </w:p>
    <w:p w14:paraId="7329432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（一）任务来源</w:t>
      </w:r>
    </w:p>
    <w:p w14:paraId="71B354E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月江西省市场监督管理局印发《关于下达2024年第</w:t>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lang w:eastAsia="zh-CN"/>
        </w:rPr>
        <w:t>批江西省地方标准制修订计划的通知》（赣市监标〔2024〕1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号），批准由江西省</w:t>
      </w:r>
      <w:r>
        <w:rPr>
          <w:rFonts w:hint="eastAsia" w:ascii="仿宋_GB2312" w:hAnsi="仿宋_GB2312" w:eastAsia="仿宋_GB2312" w:cs="仿宋_GB2312"/>
          <w:sz w:val="32"/>
          <w:szCs w:val="32"/>
          <w:lang w:val="en-US" w:eastAsia="zh-CN"/>
        </w:rPr>
        <w:t>司法厅</w:t>
      </w:r>
      <w:r>
        <w:rPr>
          <w:rFonts w:hint="eastAsia" w:ascii="仿宋_GB2312" w:hAnsi="仿宋_GB2312" w:eastAsia="仿宋_GB2312" w:cs="仿宋_GB2312"/>
          <w:sz w:val="32"/>
          <w:szCs w:val="32"/>
          <w:lang w:eastAsia="zh-CN"/>
        </w:rPr>
        <w:t>牵头起草地方标准《行政执法案卷评查规范》。</w:t>
      </w:r>
    </w:p>
    <w:p w14:paraId="13C0D02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起草</w:t>
      </w:r>
      <w:r>
        <w:rPr>
          <w:rFonts w:hint="eastAsia" w:ascii="仿宋_GB2312" w:hAnsi="仿宋_GB2312" w:eastAsia="仿宋_GB2312" w:cs="仿宋_GB2312"/>
          <w:sz w:val="32"/>
          <w:szCs w:val="32"/>
        </w:rPr>
        <w:t>单位</w:t>
      </w:r>
    </w:p>
    <w:p w14:paraId="21A475B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本标准由江西省司法厅、南昌市司法局协作编制。</w:t>
      </w:r>
    </w:p>
    <w:p w14:paraId="73E569D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二、制定标准的必要性和意义</w:t>
      </w:r>
    </w:p>
    <w:p w14:paraId="163CBBA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行政执法是行政机关履行政府职能、管理经济社会事务的重要方式，是法律实施的关键环节。党中央高度重视行政执法和行政执法监督工作。</w:t>
      </w:r>
    </w:p>
    <w:p w14:paraId="1FA61B9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当前，</w:t>
      </w:r>
      <w:r>
        <w:rPr>
          <w:rFonts w:hint="eastAsia" w:ascii="仿宋_GB2312" w:hAnsi="仿宋_GB2312" w:eastAsia="仿宋_GB2312" w:cs="仿宋_GB2312"/>
          <w:sz w:val="32"/>
          <w:szCs w:val="32"/>
          <w:lang w:val="en-US" w:eastAsia="zh-CN"/>
        </w:rPr>
        <w:t>人民群众法治意识不断增强，对行政执法规范化水平的要求随之提高。行政执法案卷评查是加强行政执法监督、规范行政执法行为、切实推进严格规范公正文明执法的有效方式，也是全面推行行政执法三项制度的有力抓手。行政执法案卷可以将动态的行政执法过程用文书形式固定下来，是直观地反映执法行为作出时真实状态的重要载体。通过对案卷的评查可以全面考察各行政执法主体执法真实情况，更好地促进执法人员提高执法水平，助力实现推进依法行政、高质</w:t>
      </w:r>
      <w:bookmarkStart w:id="0" w:name="_GoBack"/>
      <w:bookmarkEnd w:id="0"/>
      <w:r>
        <w:rPr>
          <w:rFonts w:hint="eastAsia" w:ascii="仿宋_GB2312" w:hAnsi="仿宋_GB2312" w:eastAsia="仿宋_GB2312" w:cs="仿宋_GB2312"/>
          <w:sz w:val="32"/>
          <w:szCs w:val="32"/>
          <w:lang w:val="en-US" w:eastAsia="zh-CN"/>
        </w:rPr>
        <w:t>量服务经济社会发展的目标。</w:t>
      </w:r>
    </w:p>
    <w:p w14:paraId="49CE006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省长期以来高度重视行政执法案卷评查工作，开展了大量案卷评查工作。2023年，全省行政执法机关和司法行政机关共评查行政执法案卷12.5万件。执法案卷评查工作亟须通过标准加以规范、统一。2023年，省政府办公厅《江西省提升行政执法质量三年行动计划实施方案（2023-2025年）》提出要“健全完善行政执法监督配套工作制度，推进行政执法案卷评查、行政执法案例指导等工作常态化、规范化。”2024年，省政府《关于进一步推进法治政府建设若干实施意见》进一步明确了省司法厅应于2024年12月前完成《行政执法案卷评查标准》的制定工作。</w:t>
      </w:r>
    </w:p>
    <w:p w14:paraId="0E2A0DF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查阅梳理资料、深入调研的基础上，结合我省案卷评查工作实际，编制《行政执法案卷评查规范》，旨在为全省各级司法行政机关和行政执法机关开展案卷评查工作提供统一标准，推进我省行政执法案卷评查工作专业化、规范化发展。</w:t>
      </w:r>
    </w:p>
    <w:p w14:paraId="03DA4C7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三、主要起草过程 </w:t>
      </w:r>
    </w:p>
    <w:p w14:paraId="6FFAF2D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（一）成立标准编制工作组</w:t>
      </w:r>
    </w:p>
    <w:p w14:paraId="2CA5720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为推进行政执法案卷评查规范标准编制工作，省司法厅高度重视，成立了标准编制工作组，制定了工作方案，明确了工作组人员组成、工作时间进度及具体任务分工等。</w:t>
      </w:r>
    </w:p>
    <w:p w14:paraId="4DB7295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（二）调研和资料收集</w:t>
      </w:r>
    </w:p>
    <w:p w14:paraId="297DFC5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至2024年7月，标准编制工作组通过各种渠道广泛收集与行政执法案卷评查工作有关的法律法规、标准化文件、政策文件、工作资料、各类文献等资料，实地调研了吉安市吉州区、青原区。通过实地走访、召开座谈会等方式深入了解了基层司法行政部门开展案卷评查工作的现状、困难以及存在的问题。调研和资料收集阶段获取了大量的参考资料，为标准起草做了充分准备。</w:t>
      </w:r>
    </w:p>
    <w:p w14:paraId="4A9FB54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（三）标准起草</w:t>
      </w:r>
    </w:p>
    <w:p w14:paraId="70F6493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在前期查阅资料和广泛实地调研的基础上，标准编制工作组梳理、归纳分析了相关资料，密切联系基层工作实际，经过内部多次研究和反复讨论，确定了标准编制的原则、框架结构和主要内容，并按照GB/T 1.1-2020《标准化工作导则 第1部分：标准的结构和编写规则》的规定完成了标准草案的编写。</w:t>
      </w:r>
    </w:p>
    <w:p w14:paraId="447A6BC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2024年7月，标准编制工作组先后召开2次讨论会，对标准草案的主要内容进行了深入、广泛、细致的讨论，并根据讨论结果进行修改完善，形成了标准征求意见稿。</w:t>
      </w:r>
    </w:p>
    <w:p w14:paraId="5CC1743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（四）广泛征求意见</w:t>
      </w:r>
    </w:p>
    <w:p w14:paraId="21FA84F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2024年7月至2024年8月，省司法厅向省级行政执法部门、各设区市司法局、部分县（市、区）司法局等27个单位定向征求意见。</w:t>
      </w:r>
    </w:p>
    <w:p w14:paraId="349472C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2024年8月底至2024年9月初，针对反馈的意见，组织标准编制工作组成员进行反复修改，形成公开征求意见稿。</w:t>
      </w:r>
    </w:p>
    <w:p w14:paraId="062A27F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（五）公示阶段 </w:t>
      </w:r>
    </w:p>
    <w:p w14:paraId="0F208C3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9</w:t>
      </w:r>
      <w:r>
        <w:rPr>
          <w:rFonts w:hint="default" w:ascii="仿宋_GB2312" w:hAnsi="仿宋_GB2312" w:eastAsia="仿宋_GB2312" w:cs="仿宋_GB2312"/>
          <w:sz w:val="32"/>
          <w:szCs w:val="32"/>
          <w:lang w:val="en-US" w:eastAsia="zh-CN"/>
        </w:rPr>
        <w:t>月，在</w:t>
      </w:r>
      <w:r>
        <w:rPr>
          <w:rFonts w:hint="eastAsia" w:ascii="仿宋_GB2312" w:hAnsi="仿宋_GB2312" w:eastAsia="仿宋_GB2312" w:cs="仿宋_GB2312"/>
          <w:sz w:val="32"/>
          <w:szCs w:val="32"/>
          <w:lang w:val="en-US" w:eastAsia="zh-CN"/>
        </w:rPr>
        <w:t>江西</w:t>
      </w:r>
      <w:r>
        <w:rPr>
          <w:rFonts w:hint="default" w:ascii="仿宋_GB2312" w:hAnsi="仿宋_GB2312" w:eastAsia="仿宋_GB2312" w:cs="仿宋_GB2312"/>
          <w:sz w:val="32"/>
          <w:szCs w:val="32"/>
          <w:lang w:val="en-US" w:eastAsia="zh-CN"/>
        </w:rPr>
        <w:t>省</w:t>
      </w:r>
      <w:r>
        <w:rPr>
          <w:rFonts w:hint="eastAsia" w:ascii="仿宋_GB2312" w:hAnsi="仿宋_GB2312" w:eastAsia="仿宋_GB2312" w:cs="仿宋_GB2312"/>
          <w:sz w:val="32"/>
          <w:szCs w:val="32"/>
          <w:lang w:val="en-US" w:eastAsia="zh-CN"/>
        </w:rPr>
        <w:t>标准化业务平台</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江西</w:t>
      </w:r>
      <w:r>
        <w:rPr>
          <w:rFonts w:hint="default" w:ascii="仿宋_GB2312" w:hAnsi="仿宋_GB2312" w:eastAsia="仿宋_GB2312" w:cs="仿宋_GB2312"/>
          <w:sz w:val="32"/>
          <w:szCs w:val="32"/>
          <w:lang w:val="en-US" w:eastAsia="zh-CN"/>
        </w:rPr>
        <w:t>省</w:t>
      </w:r>
      <w:r>
        <w:rPr>
          <w:rFonts w:hint="eastAsia" w:ascii="仿宋_GB2312" w:hAnsi="仿宋_GB2312" w:eastAsia="仿宋_GB2312" w:cs="仿宋_GB2312"/>
          <w:sz w:val="32"/>
          <w:szCs w:val="32"/>
          <w:lang w:val="en-US" w:eastAsia="zh-CN"/>
        </w:rPr>
        <w:t>司法厅</w:t>
      </w:r>
      <w:r>
        <w:rPr>
          <w:rFonts w:hint="default" w:ascii="仿宋_GB2312" w:hAnsi="仿宋_GB2312" w:eastAsia="仿宋_GB2312" w:cs="仿宋_GB2312"/>
          <w:sz w:val="32"/>
          <w:szCs w:val="32"/>
          <w:lang w:val="en-US" w:eastAsia="zh-CN"/>
        </w:rPr>
        <w:t>网站</w:t>
      </w:r>
      <w:r>
        <w:rPr>
          <w:rFonts w:hint="eastAsia" w:ascii="仿宋_GB2312" w:hAnsi="仿宋_GB2312" w:eastAsia="仿宋_GB2312" w:cs="仿宋_GB2312"/>
          <w:sz w:val="32"/>
          <w:szCs w:val="32"/>
          <w:lang w:val="en-US" w:eastAsia="zh-CN"/>
        </w:rPr>
        <w:t>公示，</w:t>
      </w:r>
      <w:r>
        <w:rPr>
          <w:rFonts w:hint="default" w:ascii="仿宋_GB2312" w:hAnsi="仿宋_GB2312" w:eastAsia="仿宋_GB2312" w:cs="仿宋_GB2312"/>
          <w:sz w:val="32"/>
          <w:szCs w:val="32"/>
          <w:lang w:val="en-US" w:eastAsia="zh-CN"/>
        </w:rPr>
        <w:t>向社会公开征求意见</w:t>
      </w:r>
      <w:r>
        <w:rPr>
          <w:rFonts w:hint="eastAsia" w:ascii="仿宋_GB2312" w:hAnsi="仿宋_GB2312" w:eastAsia="仿宋_GB2312" w:cs="仿宋_GB2312"/>
          <w:sz w:val="32"/>
          <w:szCs w:val="32"/>
          <w:lang w:val="en-US" w:eastAsia="zh-CN"/>
        </w:rPr>
        <w:t>。</w:t>
      </w:r>
    </w:p>
    <w:p w14:paraId="3B0773D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四、制定标准原则和依据，与现行法律、法规、标准的关系</w:t>
      </w:r>
    </w:p>
    <w:p w14:paraId="09B3E4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一)制定标准的原则和依据</w:t>
      </w:r>
    </w:p>
    <w:p w14:paraId="3E5AD73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实践性原则</w:t>
      </w:r>
    </w:p>
    <w:p w14:paraId="5045719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本标准坚持实践性原则，充分考虑</w:t>
      </w:r>
      <w:r>
        <w:rPr>
          <w:rFonts w:hint="eastAsia" w:ascii="仿宋_GB2312" w:hAnsi="仿宋_GB2312" w:eastAsia="仿宋_GB2312" w:cs="仿宋_GB2312"/>
          <w:b w:val="0"/>
          <w:bCs w:val="0"/>
          <w:sz w:val="32"/>
          <w:szCs w:val="32"/>
          <w:lang w:val="en-US" w:eastAsia="zh-CN"/>
        </w:rPr>
        <w:t>我省案卷评查工作的</w:t>
      </w:r>
      <w:r>
        <w:rPr>
          <w:rFonts w:hint="eastAsia" w:ascii="仿宋_GB2312" w:hAnsi="仿宋_GB2312" w:eastAsia="仿宋_GB2312" w:cs="仿宋_GB2312"/>
          <w:b w:val="0"/>
          <w:bCs w:val="0"/>
          <w:sz w:val="32"/>
          <w:szCs w:val="32"/>
        </w:rPr>
        <w:t>实际需要，通过调研、座谈、材料收集等方式，对以往</w:t>
      </w:r>
      <w:r>
        <w:rPr>
          <w:rFonts w:hint="eastAsia" w:ascii="仿宋_GB2312" w:hAnsi="仿宋_GB2312" w:eastAsia="仿宋_GB2312" w:cs="仿宋_GB2312"/>
          <w:b w:val="0"/>
          <w:bCs w:val="0"/>
          <w:sz w:val="32"/>
          <w:szCs w:val="32"/>
          <w:lang w:val="en-US" w:eastAsia="zh-CN"/>
        </w:rPr>
        <w:t>行政执法案卷评查</w:t>
      </w:r>
      <w:r>
        <w:rPr>
          <w:rFonts w:hint="eastAsia" w:ascii="仿宋_GB2312" w:hAnsi="仿宋_GB2312" w:eastAsia="仿宋_GB2312" w:cs="仿宋_GB2312"/>
          <w:b w:val="0"/>
          <w:bCs w:val="0"/>
          <w:sz w:val="32"/>
          <w:szCs w:val="32"/>
        </w:rPr>
        <w:t>过程中</w:t>
      </w:r>
      <w:r>
        <w:rPr>
          <w:rFonts w:hint="eastAsia" w:ascii="仿宋_GB2312" w:hAnsi="仿宋_GB2312" w:eastAsia="仿宋_GB2312" w:cs="仿宋_GB2312"/>
          <w:b w:val="0"/>
          <w:bCs w:val="0"/>
          <w:sz w:val="32"/>
          <w:szCs w:val="32"/>
          <w:lang w:val="en-US" w:eastAsia="zh-CN"/>
        </w:rPr>
        <w:t>的经验做法以及</w:t>
      </w:r>
      <w:r>
        <w:rPr>
          <w:rFonts w:hint="eastAsia" w:ascii="仿宋_GB2312" w:hAnsi="仿宋_GB2312" w:eastAsia="仿宋_GB2312" w:cs="仿宋_GB2312"/>
          <w:b w:val="0"/>
          <w:bCs w:val="0"/>
          <w:sz w:val="32"/>
          <w:szCs w:val="32"/>
        </w:rPr>
        <w:t>存在的问题进行系统梳理，</w:t>
      </w:r>
      <w:r>
        <w:rPr>
          <w:rFonts w:hint="eastAsia" w:ascii="仿宋_GB2312" w:hAnsi="仿宋_GB2312" w:eastAsia="仿宋_GB2312" w:cs="仿宋_GB2312"/>
          <w:b w:val="0"/>
          <w:bCs w:val="0"/>
          <w:sz w:val="32"/>
          <w:szCs w:val="32"/>
          <w:lang w:val="en-US" w:eastAsia="zh-CN"/>
        </w:rPr>
        <w:t>确保案卷评查组织流程合理，评分科学，具备较强的</w:t>
      </w:r>
      <w:r>
        <w:rPr>
          <w:rFonts w:hint="eastAsia" w:ascii="仿宋_GB2312" w:hAnsi="仿宋_GB2312" w:eastAsia="仿宋_GB2312" w:cs="仿宋_GB2312"/>
          <w:b w:val="0"/>
          <w:bCs w:val="0"/>
          <w:sz w:val="32"/>
          <w:szCs w:val="32"/>
        </w:rPr>
        <w:t>可操作性。</w:t>
      </w:r>
    </w:p>
    <w:p w14:paraId="3BBB0AE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2.整体性</w:t>
      </w:r>
      <w:r>
        <w:rPr>
          <w:rFonts w:hint="eastAsia" w:ascii="仿宋_GB2312" w:hAnsi="仿宋_GB2312" w:eastAsia="仿宋_GB2312" w:cs="仿宋_GB2312"/>
          <w:b w:val="0"/>
          <w:bCs w:val="0"/>
          <w:sz w:val="32"/>
          <w:szCs w:val="32"/>
        </w:rPr>
        <w:t>原则</w:t>
      </w:r>
    </w:p>
    <w:p w14:paraId="5F4A08C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标准起草过程中充分</w:t>
      </w:r>
      <w:r>
        <w:rPr>
          <w:rFonts w:hint="eastAsia" w:ascii="仿宋_GB2312" w:hAnsi="仿宋_GB2312" w:eastAsia="仿宋_GB2312" w:cs="仿宋_GB2312"/>
          <w:sz w:val="32"/>
          <w:szCs w:val="32"/>
          <w:lang w:val="en-US" w:eastAsia="zh-CN"/>
        </w:rPr>
        <w:t>尊重行政执法工作的复杂性，设计了涵盖行政检查、行政处罚、行政强制等不同行政执法种类的流程图式评查指引</w:t>
      </w:r>
      <w:r>
        <w:rPr>
          <w:rFonts w:hint="eastAsia" w:ascii="仿宋_GB2312" w:hAnsi="仿宋_GB2312" w:eastAsia="仿宋_GB2312" w:cs="仿宋_GB2312"/>
          <w:sz w:val="32"/>
          <w:szCs w:val="32"/>
        </w:rPr>
        <w:t>，注重标准的完整性。</w:t>
      </w:r>
    </w:p>
    <w:p w14:paraId="41CD14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（二）与现行法律、法规、标准的关系</w:t>
      </w:r>
    </w:p>
    <w:p w14:paraId="5CA50FB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本标准严格按照GB/T1.1-2020《标准化工作导则第1部分：标准化文件的结构和起草规则》进行编写与表述。编写过程中参考了外省相关标准或规范的经验，并在此基础上根据我省工作实际进行了优化。</w:t>
      </w:r>
    </w:p>
    <w:p w14:paraId="12C058C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本标准的制定主要基于《中华人民共和国行政处罚法》《中华人民共和国行政强制法》《江西省行政执法监督实施办法》，《中共中央办公厅 国务院办公厅关于加强行政执法协调监督工作体系建设的意见》，江西省标准化战略领导小组《关于做好地方标准管理工作的通知》等相关法律法规和文件，同时还参考了江苏省《行政执法案卷制作及评查规范》（DB32/ 4181-2021）等标准。本标准编制内容与相关法律法规、工作文件无任何抵触。</w:t>
      </w:r>
    </w:p>
    <w:p w14:paraId="3BF3B47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五、主要条款的说明</w:t>
      </w:r>
    </w:p>
    <w:p w14:paraId="1577EF9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（一）范围 </w:t>
      </w:r>
    </w:p>
    <w:p w14:paraId="02E0C26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本标准规定了江西省行政执法案卷的评查标准，适用于全省各级行政执法案卷评查主体进行案卷评查。</w:t>
      </w:r>
    </w:p>
    <w:p w14:paraId="66D4C03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（二）规范性引用文件</w:t>
      </w:r>
    </w:p>
    <w:p w14:paraId="2C052CD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下列文件对于本标准的应用是必不可少的。凡是注日期的引用文件，仅注日期的版本适用于本文件。凡是不注日期的引用文件，其最新版本（包括所有的修改单）适用于本文件。</w:t>
      </w:r>
    </w:p>
    <w:p w14:paraId="563C860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（三）术语和定义 </w:t>
      </w:r>
    </w:p>
    <w:p w14:paraId="3F8E227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规定了行政执法、行政执法主体、行政执法文书、行政执法案卷评查、评查主体、评查实施主体等相关专业术语和定义，依据《中华人民共和国行政处罚法》《江西省行政执法监督条例》和前期调研收集的资料编制。</w:t>
      </w:r>
    </w:p>
    <w:p w14:paraId="4696E38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（四）案卷评查原则 </w:t>
      </w:r>
    </w:p>
    <w:p w14:paraId="4DCE5F5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依据相关法律、法规、制度、规范性文件等，提出行政执法案卷评查应当依法、公平、公正开展，坚持实体规范与程序规范相结合、评查结果与落实执法责任相结合的原则。并规定案卷评查人员评查案卷应当公平、公正，不得隐瞒案卷问题；对所评案卷涉及到的国家秘密、商业秘密、个人隐私依法负有保密责任；案卷评查人员可能影响公正评查的，应当回避。</w:t>
      </w:r>
    </w:p>
    <w:p w14:paraId="5ADE679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（五）案卷评查方法 </w:t>
      </w:r>
    </w:p>
    <w:p w14:paraId="2F9732E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本部分从评查分值设定、等级划分、评查内容等三个方面规定了案卷评查的目标和范围。</w:t>
      </w:r>
    </w:p>
    <w:p w14:paraId="125082D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（六）案卷评查程序</w:t>
      </w:r>
    </w:p>
    <w:p w14:paraId="09FA31F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本部分主要包括对案卷评查人员的要求、案卷评查开展的程序以及进行评查复核的规定。</w:t>
      </w:r>
    </w:p>
    <w:p w14:paraId="162107C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（七）案卷评查结果的运用 </w:t>
      </w:r>
    </w:p>
    <w:p w14:paraId="0443A80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本部分规定了案卷评查最终结果的呈现形式，以及评查结果的运用。</w:t>
      </w:r>
    </w:p>
    <w:p w14:paraId="2125720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（八）行政处罚案卷评查评分细则</w:t>
      </w:r>
    </w:p>
    <w:p w14:paraId="38A998E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提供了行政处罚类案卷评查的评分细则，分为基础标准和一般标准两部分。基础标准主要考察合法性，分为职权合法、证据确凿、程序合法、法律法规适用正确等四个评价维度，存在任一维度不达标的执法案卷即为不合格案卷。一般标准主要考察规范性，分为立案、调查取证、审查决定、送达和执行、立卷归档和简易程序等六个部分，均赋予一定分值，未达标即扣除相应部分得分，最后相加得到案卷总体得分。</w:t>
      </w:r>
    </w:p>
    <w:p w14:paraId="0DFF3FD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（九）行政强制案卷评查标准</w:t>
      </w:r>
    </w:p>
    <w:p w14:paraId="5CF2ECC3">
      <w:pPr>
        <w:keepNext w:val="0"/>
        <w:keepLines w:val="0"/>
        <w:pageBreakBefore w:val="0"/>
        <w:widowControl/>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提供了行政强制类案卷评查的评分细则，分为基础标准和一般标准两部分。基础标准主要考察合法性，分为职权合法、证据确凿、程序合法、法律法规适用正确等四个评价维度，存在任一维度不达标的执法案卷即为不合格案卷。一般标准主要考察规范性，分为行政强制措施和行政强制执行两类；行政强制措施由批准、决定、实施、结案和立卷归档等五个部分组成；行政强制执行由催告、批准、执行和立卷归档等四个部分组成；以上各部分均赋予一定分值，未达标即扣除相应部分得分，最后相加得到案卷总体得分。</w:t>
      </w:r>
    </w:p>
    <w:p w14:paraId="61270D3B">
      <w:pPr>
        <w:keepNext w:val="0"/>
        <w:keepLines w:val="0"/>
        <w:pageBreakBefore w:val="0"/>
        <w:widowControl/>
        <w:kinsoku/>
        <w:wordWrap/>
        <w:overflowPunct/>
        <w:topLinePunct w:val="0"/>
        <w:autoSpaceDE/>
        <w:autoSpaceDN/>
        <w:bidi w:val="0"/>
        <w:adjustRightInd/>
        <w:snapToGrid/>
        <w:ind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（十）行政检查案卷评查标准</w:t>
      </w:r>
    </w:p>
    <w:p w14:paraId="6B9AAE4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分提供了行政检查类案卷评查的评分细则，分为基础标准和一般标准两部分。基础标准主要考察合法性，分为职权合法、程序合法、法律法规适用正确等三个评价维度，存在任一维度不达标的执法案卷即为不合格案卷。一般标准主要考察规范性，由计划、实施检查等两个部分组成，各部分均赋予一定分值，未达标即扣除相应部分得分，最后相加得到案卷总体得分。</w:t>
      </w:r>
    </w:p>
    <w:p w14:paraId="123EDE9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（十一）行政执法流程图</w:t>
      </w:r>
    </w:p>
    <w:p w14:paraId="490FD94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1.行政检查参考流程图</w:t>
      </w:r>
    </w:p>
    <w:p w14:paraId="064AE86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给出了行政执法机关进行行政检查的参考流程，同时也作为案卷评查机关进行案卷评查的参考顺序。矩形框中数字对应行政检查案卷评查标准中相应部分的序号，为该流程步骤的评查要求。</w:t>
      </w:r>
    </w:p>
    <w:p w14:paraId="63C581F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2.行政处罚参考流程图</w:t>
      </w:r>
    </w:p>
    <w:p w14:paraId="542BEE8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给出了行政执法机关进行行政处罚的参考流程，同时也作为案卷评查机关进行案卷评查的参考顺序。矩形框中数字对应行政处罚案卷评查标准中相应部分的序号，为该流程步骤的评查要求。</w:t>
      </w:r>
    </w:p>
    <w:p w14:paraId="5AD05D2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3.行政强制参考流程图</w:t>
      </w:r>
    </w:p>
    <w:p w14:paraId="6D823DF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给出了行政执法机关进行行政强制的参考流程，同时也作为案卷评查机关进行案卷评查的参考顺序。矩形框中数字对应行政强制案卷评查标准中相应部分的序号，为该流程步骤的评查要求。</w:t>
      </w:r>
    </w:p>
    <w:p w14:paraId="0BE6A767">
      <w:pPr>
        <w:keepNext w:val="0"/>
        <w:keepLines w:val="0"/>
        <w:pageBreakBefore w:val="0"/>
        <w:widowControl/>
        <w:numPr>
          <w:ilvl w:val="0"/>
          <w:numId w:val="1"/>
        </w:numPr>
        <w:kinsoku/>
        <w:wordWrap/>
        <w:overflowPunct/>
        <w:topLinePunct w:val="0"/>
        <w:autoSpaceDE/>
        <w:autoSpaceDN/>
        <w:bidi w:val="0"/>
        <w:adjustRightInd/>
        <w:snapToGrid/>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行政处罚易错点清单</w:t>
      </w:r>
    </w:p>
    <w:p w14:paraId="2F43285B">
      <w:pPr>
        <w:keepNext w:val="0"/>
        <w:keepLines w:val="0"/>
        <w:pageBreakBefore w:val="0"/>
        <w:widowControl/>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案卷评查工作中发现的常见问题，按照行政职权不合法，行政相对人违法，事实不清、证据不明，程序违法，适用依据错误，立案问题，调查取证问题，审查决定问题，送达与执行问题，立案归档相关问题等十个部分给出了行政处罚易错点清单，以期提高行政执法案卷评查效能。</w:t>
      </w:r>
    </w:p>
    <w:p w14:paraId="13E2AE3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六、重大意见分歧的处理依据和结果</w:t>
      </w:r>
    </w:p>
    <w:p w14:paraId="3D1FFAA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无重大分歧意见。</w:t>
      </w:r>
    </w:p>
    <w:p w14:paraId="03C711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七、贯彻标准的措施建议</w:t>
      </w:r>
    </w:p>
    <w:p w14:paraId="7F2B979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是江西省司法行政部门指导行政执法案卷评查工作的第一个地方标准，其贯彻执行将有效提升我省行政执法案卷评查的规范化、标准化程度，同时也进一步完善了我省行政执法监督制度体系，有利于构建省市县乡四级全覆盖的行政执法协调监督工作体系，从而进一步提升我省行政执法质量，促进严格规范公正文明执法。</w:t>
      </w:r>
    </w:p>
    <w:p w14:paraId="49012E9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标准发布后，江西省司法行政部门将结合标准化建设，深入基层进行标准宣传和培训，定期开展案卷评查，确保本标准切实服务于实际工作，并结合现有的标准实施评估机制，持续对标准实施推进过程中发现的问题进行收集、梳理和汇总，及时补充和改进。同时加强与全国其他省市的交流合作，吸收外省市先进做法，扩大标准影响范围，促进行政执法案卷评查质量全面提升。</w:t>
      </w:r>
      <w:r>
        <w:rPr>
          <w:rFonts w:hint="eastAsia" w:ascii="仿宋_GB2312" w:hAnsi="仿宋_GB2312" w:eastAsia="仿宋_GB2312" w:cs="仿宋_GB2312"/>
          <w:sz w:val="32"/>
          <w:szCs w:val="32"/>
        </w:rPr>
        <w:t xml:space="preserve"> </w:t>
      </w:r>
    </w:p>
    <w:p w14:paraId="0681408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14:paraId="42815BFB">
      <w:pPr>
        <w:keepNext w:val="0"/>
        <w:keepLines w:val="0"/>
        <w:pageBreakBefore w:val="0"/>
        <w:widowControl/>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江西省地方标准《行政执法案卷评查规范》编制工作组</w:t>
      </w:r>
    </w:p>
    <w:p w14:paraId="508C9E1B">
      <w:pPr>
        <w:keepNext w:val="0"/>
        <w:keepLines w:val="0"/>
        <w:pageBreakBefore w:val="0"/>
        <w:widowControl/>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2024年8月30日         </w:t>
      </w:r>
    </w:p>
    <w:sectPr>
      <w:footerReference r:id="rId5" w:type="default"/>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40D314-D080-4894-B956-7ABAFD5E3AA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F090D861-05C1-494A-9868-73D3F5F1B2F0}"/>
  </w:font>
  <w:font w:name="仿宋_GB2312">
    <w:panose1 w:val="02010609030101010101"/>
    <w:charset w:val="86"/>
    <w:family w:val="auto"/>
    <w:pitch w:val="default"/>
    <w:sig w:usb0="00000001" w:usb1="080E0000" w:usb2="00000000" w:usb3="00000000" w:csb0="00040000" w:csb1="00000000"/>
    <w:embedRegular r:id="rId3" w:fontKey="{D880F32F-134B-45C8-9128-6B24D11ACB7F}"/>
  </w:font>
  <w:font w:name="楷体_GB2312">
    <w:altName w:val="楷体"/>
    <w:panose1 w:val="02010609030101010101"/>
    <w:charset w:val="86"/>
    <w:family w:val="modern"/>
    <w:pitch w:val="default"/>
    <w:sig w:usb0="00000000" w:usb1="00000000" w:usb2="00000000" w:usb3="00000000" w:csb0="00040000" w:csb1="00000000"/>
    <w:embedRegular r:id="rId4" w:fontKey="{B70A4B95-5464-46BB-A8F0-65579899128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C1C2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D7CF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1D7CF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873D91"/>
    <w:multiLevelType w:val="singleLevel"/>
    <w:tmpl w:val="F2873D91"/>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000000"/>
    <w:rsid w:val="00135135"/>
    <w:rsid w:val="00C621A8"/>
    <w:rsid w:val="01587A7B"/>
    <w:rsid w:val="018F244D"/>
    <w:rsid w:val="01AD5116"/>
    <w:rsid w:val="025C1016"/>
    <w:rsid w:val="028129C3"/>
    <w:rsid w:val="02B65611"/>
    <w:rsid w:val="02E35293"/>
    <w:rsid w:val="03BE185C"/>
    <w:rsid w:val="03C46642"/>
    <w:rsid w:val="03CA01D1"/>
    <w:rsid w:val="04BD7D66"/>
    <w:rsid w:val="04FF037E"/>
    <w:rsid w:val="050C79CF"/>
    <w:rsid w:val="065429B4"/>
    <w:rsid w:val="07F24262"/>
    <w:rsid w:val="07FE66CB"/>
    <w:rsid w:val="08002443"/>
    <w:rsid w:val="083D5445"/>
    <w:rsid w:val="08406CE4"/>
    <w:rsid w:val="09135811"/>
    <w:rsid w:val="092D370C"/>
    <w:rsid w:val="094D16B8"/>
    <w:rsid w:val="09C53944"/>
    <w:rsid w:val="09E10052"/>
    <w:rsid w:val="0AC91D2A"/>
    <w:rsid w:val="0AD6133E"/>
    <w:rsid w:val="0AE03085"/>
    <w:rsid w:val="0AE61AEF"/>
    <w:rsid w:val="0B04224A"/>
    <w:rsid w:val="0B8D0492"/>
    <w:rsid w:val="0C126BE9"/>
    <w:rsid w:val="0C2C7CAB"/>
    <w:rsid w:val="0C931079"/>
    <w:rsid w:val="0CEC11E8"/>
    <w:rsid w:val="0D5374B9"/>
    <w:rsid w:val="0D892EDB"/>
    <w:rsid w:val="0DA23612"/>
    <w:rsid w:val="0DEF69F4"/>
    <w:rsid w:val="0EEF4FBF"/>
    <w:rsid w:val="0F2C6214"/>
    <w:rsid w:val="0F6270FC"/>
    <w:rsid w:val="0F721E6B"/>
    <w:rsid w:val="0FB31FBB"/>
    <w:rsid w:val="122303E6"/>
    <w:rsid w:val="12655CC4"/>
    <w:rsid w:val="12CC5D44"/>
    <w:rsid w:val="13B17211"/>
    <w:rsid w:val="13D42386"/>
    <w:rsid w:val="140E4B8B"/>
    <w:rsid w:val="14583027"/>
    <w:rsid w:val="1591465B"/>
    <w:rsid w:val="15FB1556"/>
    <w:rsid w:val="165508FD"/>
    <w:rsid w:val="1665715B"/>
    <w:rsid w:val="16726C02"/>
    <w:rsid w:val="16A91EF8"/>
    <w:rsid w:val="17377504"/>
    <w:rsid w:val="176F55C7"/>
    <w:rsid w:val="17CE7E68"/>
    <w:rsid w:val="17D03874"/>
    <w:rsid w:val="18512847"/>
    <w:rsid w:val="18871757"/>
    <w:rsid w:val="19005594"/>
    <w:rsid w:val="1A116732"/>
    <w:rsid w:val="1A441E0D"/>
    <w:rsid w:val="1B177D78"/>
    <w:rsid w:val="1BAF2978"/>
    <w:rsid w:val="1CC70706"/>
    <w:rsid w:val="1CCC4B92"/>
    <w:rsid w:val="1DB47B00"/>
    <w:rsid w:val="1E430942"/>
    <w:rsid w:val="1E5B7F7C"/>
    <w:rsid w:val="1FF1417F"/>
    <w:rsid w:val="1FF609CA"/>
    <w:rsid w:val="207215AC"/>
    <w:rsid w:val="21515666"/>
    <w:rsid w:val="21611D4D"/>
    <w:rsid w:val="21B75E11"/>
    <w:rsid w:val="21B9678C"/>
    <w:rsid w:val="23582989"/>
    <w:rsid w:val="2373257F"/>
    <w:rsid w:val="23B620F4"/>
    <w:rsid w:val="24B44889"/>
    <w:rsid w:val="25D02FFD"/>
    <w:rsid w:val="25E44B94"/>
    <w:rsid w:val="264A7253"/>
    <w:rsid w:val="268362C1"/>
    <w:rsid w:val="26A27A1A"/>
    <w:rsid w:val="273870AC"/>
    <w:rsid w:val="27BD3A55"/>
    <w:rsid w:val="285B7BA3"/>
    <w:rsid w:val="28AF5870"/>
    <w:rsid w:val="28CC03F4"/>
    <w:rsid w:val="28D64DCE"/>
    <w:rsid w:val="29612A4E"/>
    <w:rsid w:val="298C5A53"/>
    <w:rsid w:val="29E259F5"/>
    <w:rsid w:val="2A2E29E8"/>
    <w:rsid w:val="2A8733A6"/>
    <w:rsid w:val="2AA50EFC"/>
    <w:rsid w:val="2AA64C74"/>
    <w:rsid w:val="2AE876C4"/>
    <w:rsid w:val="2AFB4CDC"/>
    <w:rsid w:val="2B3316DA"/>
    <w:rsid w:val="2B99364B"/>
    <w:rsid w:val="2BD61589"/>
    <w:rsid w:val="2C0C4FAB"/>
    <w:rsid w:val="2D5E17C3"/>
    <w:rsid w:val="2D825E5D"/>
    <w:rsid w:val="2D8868B3"/>
    <w:rsid w:val="2E693FEF"/>
    <w:rsid w:val="2F9E3503"/>
    <w:rsid w:val="30517430"/>
    <w:rsid w:val="30AC4667"/>
    <w:rsid w:val="30BB7AAF"/>
    <w:rsid w:val="30D53BBD"/>
    <w:rsid w:val="320C360F"/>
    <w:rsid w:val="3252156E"/>
    <w:rsid w:val="32AC0031"/>
    <w:rsid w:val="32D14858"/>
    <w:rsid w:val="332E3A59"/>
    <w:rsid w:val="334E7C57"/>
    <w:rsid w:val="33B04A91"/>
    <w:rsid w:val="33CC47F1"/>
    <w:rsid w:val="33E505BB"/>
    <w:rsid w:val="33E55735"/>
    <w:rsid w:val="340D18C0"/>
    <w:rsid w:val="34DB376C"/>
    <w:rsid w:val="3592207D"/>
    <w:rsid w:val="3606566D"/>
    <w:rsid w:val="361C0326"/>
    <w:rsid w:val="36835E6A"/>
    <w:rsid w:val="370E7D7E"/>
    <w:rsid w:val="37163E07"/>
    <w:rsid w:val="37603188"/>
    <w:rsid w:val="376E6B1A"/>
    <w:rsid w:val="38645935"/>
    <w:rsid w:val="387046D6"/>
    <w:rsid w:val="39680461"/>
    <w:rsid w:val="39F74BA5"/>
    <w:rsid w:val="3AE76507"/>
    <w:rsid w:val="3C6A3D54"/>
    <w:rsid w:val="3C950974"/>
    <w:rsid w:val="3C9768C2"/>
    <w:rsid w:val="3CA91F5D"/>
    <w:rsid w:val="3CAD7EB2"/>
    <w:rsid w:val="3D49004C"/>
    <w:rsid w:val="3D817B34"/>
    <w:rsid w:val="3E0750F5"/>
    <w:rsid w:val="3F214472"/>
    <w:rsid w:val="3F3E3276"/>
    <w:rsid w:val="3F473ED8"/>
    <w:rsid w:val="3FFA644F"/>
    <w:rsid w:val="405E3BCF"/>
    <w:rsid w:val="412F482E"/>
    <w:rsid w:val="41666F68"/>
    <w:rsid w:val="418075F8"/>
    <w:rsid w:val="436314FD"/>
    <w:rsid w:val="43790D20"/>
    <w:rsid w:val="43DE2931"/>
    <w:rsid w:val="43F63871"/>
    <w:rsid w:val="44601CAC"/>
    <w:rsid w:val="448279A7"/>
    <w:rsid w:val="44E87F0C"/>
    <w:rsid w:val="45A442C7"/>
    <w:rsid w:val="46EE0E29"/>
    <w:rsid w:val="485B092E"/>
    <w:rsid w:val="48D17F5F"/>
    <w:rsid w:val="494D67E4"/>
    <w:rsid w:val="496D4C59"/>
    <w:rsid w:val="4A564909"/>
    <w:rsid w:val="4AEE355C"/>
    <w:rsid w:val="4B186FF8"/>
    <w:rsid w:val="4B27210C"/>
    <w:rsid w:val="4B667DDC"/>
    <w:rsid w:val="4B9009B5"/>
    <w:rsid w:val="4BA07421"/>
    <w:rsid w:val="4BA32DDE"/>
    <w:rsid w:val="4BDE3CBF"/>
    <w:rsid w:val="4BEB208F"/>
    <w:rsid w:val="4C593F12"/>
    <w:rsid w:val="4C6360CA"/>
    <w:rsid w:val="4C8049A8"/>
    <w:rsid w:val="4CE54D31"/>
    <w:rsid w:val="4CF82EFE"/>
    <w:rsid w:val="4D0E6C05"/>
    <w:rsid w:val="4D873E41"/>
    <w:rsid w:val="4E1C4782"/>
    <w:rsid w:val="4E50267E"/>
    <w:rsid w:val="4E573A0C"/>
    <w:rsid w:val="4F890760"/>
    <w:rsid w:val="501041C5"/>
    <w:rsid w:val="50813939"/>
    <w:rsid w:val="50E0418D"/>
    <w:rsid w:val="50F805F8"/>
    <w:rsid w:val="516052CE"/>
    <w:rsid w:val="517D7C2E"/>
    <w:rsid w:val="51B93F72"/>
    <w:rsid w:val="52146CC9"/>
    <w:rsid w:val="524811DD"/>
    <w:rsid w:val="529C6FC6"/>
    <w:rsid w:val="52B51631"/>
    <w:rsid w:val="52D513C4"/>
    <w:rsid w:val="530C1269"/>
    <w:rsid w:val="5334256E"/>
    <w:rsid w:val="543A1E06"/>
    <w:rsid w:val="54501629"/>
    <w:rsid w:val="55255BF0"/>
    <w:rsid w:val="552F7491"/>
    <w:rsid w:val="55464EF7"/>
    <w:rsid w:val="563C4C00"/>
    <w:rsid w:val="56586796"/>
    <w:rsid w:val="565D5CD2"/>
    <w:rsid w:val="566B02D0"/>
    <w:rsid w:val="56CB143B"/>
    <w:rsid w:val="56E36785"/>
    <w:rsid w:val="56FC7AC4"/>
    <w:rsid w:val="57F4051E"/>
    <w:rsid w:val="57FF1A9D"/>
    <w:rsid w:val="583A77C7"/>
    <w:rsid w:val="59C339B2"/>
    <w:rsid w:val="59CF5A1D"/>
    <w:rsid w:val="5A0C5FF2"/>
    <w:rsid w:val="5A8E64AC"/>
    <w:rsid w:val="5AF251E8"/>
    <w:rsid w:val="5B653C0C"/>
    <w:rsid w:val="5BCE7A03"/>
    <w:rsid w:val="5C447CC6"/>
    <w:rsid w:val="5C515F3F"/>
    <w:rsid w:val="5CC94B62"/>
    <w:rsid w:val="5CDF79EE"/>
    <w:rsid w:val="5D132F07"/>
    <w:rsid w:val="5D505516"/>
    <w:rsid w:val="5E146C58"/>
    <w:rsid w:val="5F721A9A"/>
    <w:rsid w:val="60795A64"/>
    <w:rsid w:val="60C60E56"/>
    <w:rsid w:val="62726C0F"/>
    <w:rsid w:val="62AD1F30"/>
    <w:rsid w:val="62C84A81"/>
    <w:rsid w:val="632E3C35"/>
    <w:rsid w:val="63400ABB"/>
    <w:rsid w:val="64017CA9"/>
    <w:rsid w:val="64C179D9"/>
    <w:rsid w:val="651B533C"/>
    <w:rsid w:val="655E4EFC"/>
    <w:rsid w:val="65AB6CDE"/>
    <w:rsid w:val="66A815AC"/>
    <w:rsid w:val="66ED2D08"/>
    <w:rsid w:val="673E5311"/>
    <w:rsid w:val="674334BE"/>
    <w:rsid w:val="67855FBF"/>
    <w:rsid w:val="6821251A"/>
    <w:rsid w:val="68613E1C"/>
    <w:rsid w:val="691B43CA"/>
    <w:rsid w:val="69C935B8"/>
    <w:rsid w:val="6AB26742"/>
    <w:rsid w:val="6ACD1811"/>
    <w:rsid w:val="6B0D3978"/>
    <w:rsid w:val="6BAD0A9E"/>
    <w:rsid w:val="6BDD159D"/>
    <w:rsid w:val="6BE566A3"/>
    <w:rsid w:val="6BFD579B"/>
    <w:rsid w:val="6C0528A2"/>
    <w:rsid w:val="6C2F5912"/>
    <w:rsid w:val="6C4C3F94"/>
    <w:rsid w:val="6CC013F3"/>
    <w:rsid w:val="6D0E3B7E"/>
    <w:rsid w:val="6D111C1F"/>
    <w:rsid w:val="6D454232"/>
    <w:rsid w:val="6D812312"/>
    <w:rsid w:val="6F183C60"/>
    <w:rsid w:val="6FA015DF"/>
    <w:rsid w:val="6FD827A7"/>
    <w:rsid w:val="6FEA4288"/>
    <w:rsid w:val="705B6F34"/>
    <w:rsid w:val="709E31F4"/>
    <w:rsid w:val="711259B6"/>
    <w:rsid w:val="7141437C"/>
    <w:rsid w:val="714874B8"/>
    <w:rsid w:val="716562BC"/>
    <w:rsid w:val="718269D1"/>
    <w:rsid w:val="71BB4FFB"/>
    <w:rsid w:val="72402885"/>
    <w:rsid w:val="731F06ED"/>
    <w:rsid w:val="73574EC5"/>
    <w:rsid w:val="749A61FE"/>
    <w:rsid w:val="753126B7"/>
    <w:rsid w:val="75632F22"/>
    <w:rsid w:val="75660855"/>
    <w:rsid w:val="758F7A00"/>
    <w:rsid w:val="75D32904"/>
    <w:rsid w:val="75E43528"/>
    <w:rsid w:val="7697080C"/>
    <w:rsid w:val="76F65C09"/>
    <w:rsid w:val="778E5E41"/>
    <w:rsid w:val="77B70EF4"/>
    <w:rsid w:val="77B77A2C"/>
    <w:rsid w:val="77D45F4A"/>
    <w:rsid w:val="77DF55F8"/>
    <w:rsid w:val="785F7CF2"/>
    <w:rsid w:val="79156C5A"/>
    <w:rsid w:val="79AE27CB"/>
    <w:rsid w:val="79CB0C87"/>
    <w:rsid w:val="79F5532C"/>
    <w:rsid w:val="7A060A83"/>
    <w:rsid w:val="7A5D73D7"/>
    <w:rsid w:val="7B167881"/>
    <w:rsid w:val="7BD61B65"/>
    <w:rsid w:val="7C32323F"/>
    <w:rsid w:val="7CF46746"/>
    <w:rsid w:val="7E006F14"/>
    <w:rsid w:val="7E176B90"/>
    <w:rsid w:val="7E292F54"/>
    <w:rsid w:val="7E3C0DA2"/>
    <w:rsid w:val="7E722019"/>
    <w:rsid w:val="7E786F03"/>
    <w:rsid w:val="7ECF2FC7"/>
    <w:rsid w:val="7F137F8F"/>
    <w:rsid w:val="7FA5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autoRedefine/>
    <w:qFormat/>
    <w:uiPriority w:val="0"/>
    <w:pPr>
      <w:keepNext/>
      <w:keepLines/>
      <w:spacing w:beforeLines="0" w:beforeAutospacing="0" w:afterLines="0" w:afterAutospacing="0" w:line="240" w:lineRule="auto"/>
      <w:ind w:firstLine="0" w:firstLineChars="0"/>
      <w:jc w:val="center"/>
      <w:outlineLvl w:val="0"/>
    </w:pPr>
    <w:rPr>
      <w:rFonts w:eastAsia="宋体"/>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keepNext w:val="0"/>
      <w:keepLines w:val="0"/>
      <w:widowControl w:val="0"/>
      <w:suppressLineNumbers w:val="0"/>
      <w:spacing w:after="0" w:afterAutospacing="0"/>
      <w:ind w:left="118"/>
      <w:jc w:val="left"/>
    </w:pPr>
    <w:rPr>
      <w:rFonts w:hint="eastAsia" w:ascii="宋体" w:hAnsi="宋体" w:eastAsia="宋体" w:cs="Times New Roman"/>
      <w:kern w:val="0"/>
      <w:sz w:val="21"/>
      <w:szCs w:val="21"/>
      <w:lang w:val="en-US" w:eastAsia="zh-CN" w:bidi="ar"/>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3947</Words>
  <Characters>4055</Characters>
  <Lines>0</Lines>
  <Paragraphs>0</Paragraphs>
  <TotalTime>315</TotalTime>
  <ScaleCrop>false</ScaleCrop>
  <LinksUpToDate>false</LinksUpToDate>
  <CharactersWithSpaces>4078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2023-10-27T07:48:00Z</dcterms:created>
  <dc:creator>hi</dc:creator>
  <cp:lastModifiedBy>陈星瞳</cp:lastModifiedBy>
  <cp:lastPrinted>2024-09-27T08:23:00Z</cp:lastPrinted>
  <dcterms:modified xsi:type="dcterms:W3CDTF">2024-10-10T01:48:31Z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D27258B15A23400EBEBE0AD9C5CE4FBA_13</vt:lpwstr>
  </property>
</Properties>
</file>